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31F8" w14:textId="3ECD9E5B" w:rsidR="009D710B" w:rsidRPr="00A34A4F" w:rsidRDefault="004F1C72" w:rsidP="00CD0B6B">
      <w:pPr>
        <w:jc w:val="center"/>
        <w:rPr>
          <w:rFonts w:ascii="Century Gothic" w:hAnsi="Century Gothic"/>
          <w:b/>
          <w:bCs/>
          <w:u w:val="single"/>
          <w:lang w:val="en-US"/>
        </w:rPr>
      </w:pPr>
      <w:r w:rsidRPr="00A34A4F">
        <w:rPr>
          <w:rFonts w:ascii="Century Gothic" w:hAnsi="Century Gothic"/>
          <w:b/>
          <w:bCs/>
          <w:u w:val="single"/>
          <w:lang w:val="en-US"/>
        </w:rPr>
        <w:t>D</w:t>
      </w:r>
      <w:r w:rsidR="00CD0B6B" w:rsidRPr="00A34A4F">
        <w:rPr>
          <w:rFonts w:ascii="Century Gothic" w:hAnsi="Century Gothic"/>
          <w:b/>
          <w:bCs/>
          <w:u w:val="single"/>
          <w:lang w:val="en-US"/>
        </w:rPr>
        <w:t xml:space="preserve">yskinesia </w:t>
      </w:r>
      <w:r w:rsidRPr="00A34A4F">
        <w:rPr>
          <w:rFonts w:ascii="Century Gothic" w:hAnsi="Century Gothic"/>
          <w:b/>
          <w:bCs/>
          <w:u w:val="single"/>
          <w:lang w:val="en-US"/>
        </w:rPr>
        <w:t>W</w:t>
      </w:r>
      <w:r w:rsidR="00CD0B6B" w:rsidRPr="00A34A4F">
        <w:rPr>
          <w:rFonts w:ascii="Century Gothic" w:hAnsi="Century Gothic"/>
          <w:b/>
          <w:bCs/>
          <w:u w:val="single"/>
          <w:lang w:val="en-US"/>
        </w:rPr>
        <w:t>ebinar</w:t>
      </w:r>
      <w:r w:rsidRPr="00A34A4F">
        <w:rPr>
          <w:rFonts w:ascii="Century Gothic" w:hAnsi="Century Gothic"/>
          <w:b/>
          <w:bCs/>
          <w:u w:val="single"/>
          <w:lang w:val="en-US"/>
        </w:rPr>
        <w:t xml:space="preserve"> Q&amp;A </w:t>
      </w:r>
    </w:p>
    <w:p w14:paraId="1F56D907" w14:textId="77777777" w:rsidR="00CD0B6B" w:rsidRPr="004F1C72" w:rsidRDefault="00CD0B6B">
      <w:pPr>
        <w:rPr>
          <w:rFonts w:ascii="Century Gothic" w:hAnsi="Century Gothic"/>
          <w:lang w:val="en-US"/>
        </w:rPr>
      </w:pPr>
    </w:p>
    <w:p w14:paraId="61D0A487" w14:textId="0DF4F627" w:rsidR="00CD0B6B" w:rsidRPr="004F1C72" w:rsidRDefault="00CD0B6B">
      <w:pPr>
        <w:rPr>
          <w:rFonts w:ascii="Century Gothic" w:hAnsi="Century Gothic"/>
          <w:b/>
          <w:bCs/>
          <w:u w:val="single"/>
          <w:lang w:val="en-US"/>
        </w:rPr>
      </w:pPr>
      <w:r w:rsidRPr="004F1C72">
        <w:rPr>
          <w:rFonts w:ascii="Century Gothic" w:hAnsi="Century Gothic"/>
          <w:b/>
          <w:bCs/>
          <w:u w:val="single"/>
          <w:lang w:val="en-US"/>
        </w:rPr>
        <w:t xml:space="preserve">Young onset Parkinson’s </w:t>
      </w:r>
      <w:r w:rsidR="007D166F">
        <w:rPr>
          <w:rFonts w:ascii="Century Gothic" w:hAnsi="Century Gothic"/>
          <w:b/>
          <w:bCs/>
          <w:u w:val="single"/>
          <w:lang w:val="en-US"/>
        </w:rPr>
        <w:t xml:space="preserve">(YOPD) </w:t>
      </w:r>
      <w:r w:rsidRPr="004F1C72">
        <w:rPr>
          <w:rFonts w:ascii="Century Gothic" w:hAnsi="Century Gothic"/>
          <w:b/>
          <w:bCs/>
          <w:u w:val="single"/>
          <w:lang w:val="en-US"/>
        </w:rPr>
        <w:t xml:space="preserve">and dyskinesia </w:t>
      </w:r>
    </w:p>
    <w:p w14:paraId="1C44B7B8" w14:textId="79A9DB96" w:rsidR="00CD0B6B" w:rsidRDefault="00CD0B6B" w:rsidP="004F1C72">
      <w:pPr>
        <w:pStyle w:val="ListParagraph"/>
        <w:numPr>
          <w:ilvl w:val="0"/>
          <w:numId w:val="8"/>
        </w:numPr>
        <w:rPr>
          <w:rFonts w:ascii="Century Gothic" w:hAnsi="Century Gothic"/>
          <w:i/>
          <w:iCs/>
          <w:lang w:val="en-US"/>
        </w:rPr>
      </w:pPr>
      <w:r w:rsidRPr="004F1C72">
        <w:rPr>
          <w:rFonts w:ascii="Century Gothic" w:hAnsi="Century Gothic"/>
          <w:i/>
          <w:iCs/>
          <w:lang w:val="en-US"/>
        </w:rPr>
        <w:t xml:space="preserve">Why do people with YOPD develop </w:t>
      </w:r>
      <w:r w:rsidR="00832AE9" w:rsidRPr="004F1C72">
        <w:rPr>
          <w:rFonts w:ascii="Century Gothic" w:hAnsi="Century Gothic"/>
          <w:i/>
          <w:iCs/>
          <w:lang w:val="en-US"/>
        </w:rPr>
        <w:t>d</w:t>
      </w:r>
      <w:r w:rsidRPr="004F1C72">
        <w:rPr>
          <w:rFonts w:ascii="Century Gothic" w:hAnsi="Century Gothic"/>
          <w:i/>
          <w:iCs/>
          <w:lang w:val="en-US"/>
        </w:rPr>
        <w:t>yskinesia</w:t>
      </w:r>
      <w:r w:rsidR="00C455AB" w:rsidRPr="004F1C72">
        <w:rPr>
          <w:rFonts w:ascii="Century Gothic" w:hAnsi="Century Gothic"/>
          <w:i/>
          <w:iCs/>
          <w:lang w:val="en-US"/>
        </w:rPr>
        <w:t xml:space="preserve">, even when </w:t>
      </w:r>
      <w:r w:rsidR="007D166F">
        <w:rPr>
          <w:rFonts w:ascii="Century Gothic" w:hAnsi="Century Gothic"/>
          <w:i/>
          <w:iCs/>
          <w:lang w:val="en-US"/>
        </w:rPr>
        <w:t xml:space="preserve">they </w:t>
      </w:r>
      <w:r w:rsidR="00C455AB" w:rsidRPr="004F1C72">
        <w:rPr>
          <w:rFonts w:ascii="Century Gothic" w:hAnsi="Century Gothic"/>
          <w:i/>
          <w:iCs/>
          <w:lang w:val="en-US"/>
        </w:rPr>
        <w:t>have a short disease duration</w:t>
      </w:r>
      <w:r w:rsidRPr="004F1C72">
        <w:rPr>
          <w:rFonts w:ascii="Century Gothic" w:hAnsi="Century Gothic"/>
          <w:i/>
          <w:iCs/>
          <w:lang w:val="en-US"/>
        </w:rPr>
        <w:t>?</w:t>
      </w:r>
    </w:p>
    <w:p w14:paraId="0D8C00B5" w14:textId="77777777" w:rsidR="004F1C72" w:rsidRPr="004F1C72" w:rsidRDefault="004F1C72" w:rsidP="004F1C72">
      <w:pPr>
        <w:pStyle w:val="ListParagraph"/>
        <w:rPr>
          <w:rFonts w:ascii="Century Gothic" w:hAnsi="Century Gothic"/>
          <w:i/>
          <w:iCs/>
          <w:lang w:val="en-US"/>
        </w:rPr>
      </w:pPr>
    </w:p>
    <w:p w14:paraId="757A09CD" w14:textId="4B247B41" w:rsidR="00F646AA" w:rsidRPr="004F1C72" w:rsidRDefault="00F646AA" w:rsidP="004F1C72">
      <w:pPr>
        <w:pStyle w:val="ListParagraph"/>
        <w:numPr>
          <w:ilvl w:val="0"/>
          <w:numId w:val="9"/>
        </w:numPr>
        <w:rPr>
          <w:rFonts w:ascii="Century Gothic" w:hAnsi="Century Gothic"/>
          <w:lang w:val="en-US"/>
        </w:rPr>
      </w:pPr>
      <w:r w:rsidRPr="004F1C72">
        <w:rPr>
          <w:rFonts w:ascii="Century Gothic" w:hAnsi="Century Gothic"/>
          <w:lang w:val="en-US"/>
        </w:rPr>
        <w:t>The exact reason is not entirely clear. One hypothesis is that the area that receives dopamine is more youthful and vigorous and remains relatively intact, so is more sensitive to the changes that lead to dyskinesia.</w:t>
      </w:r>
    </w:p>
    <w:p w14:paraId="1348DE2C" w14:textId="77777777" w:rsidR="00CD0B6B" w:rsidRPr="004F1C72" w:rsidRDefault="00CD0B6B" w:rsidP="00CD0B6B">
      <w:pPr>
        <w:rPr>
          <w:rFonts w:ascii="Century Gothic" w:hAnsi="Century Gothic"/>
          <w:lang w:val="en-US"/>
        </w:rPr>
      </w:pPr>
    </w:p>
    <w:p w14:paraId="6D7FE6AB" w14:textId="77777777" w:rsidR="00CD0B6B" w:rsidRPr="004F1C72" w:rsidRDefault="00CD0B6B" w:rsidP="00CD0B6B">
      <w:pPr>
        <w:rPr>
          <w:rFonts w:ascii="Century Gothic" w:hAnsi="Century Gothic"/>
          <w:b/>
          <w:bCs/>
          <w:u w:val="single"/>
          <w:lang w:val="en-US"/>
        </w:rPr>
      </w:pPr>
      <w:r w:rsidRPr="004F1C72">
        <w:rPr>
          <w:rFonts w:ascii="Century Gothic" w:hAnsi="Century Gothic"/>
          <w:b/>
          <w:bCs/>
          <w:u w:val="single"/>
          <w:lang w:val="en-US"/>
        </w:rPr>
        <w:t xml:space="preserve">Risk factors for developing dyskinesia </w:t>
      </w:r>
    </w:p>
    <w:p w14:paraId="5EC12029" w14:textId="595EFD19" w:rsidR="00CD0B6B" w:rsidRDefault="00CD0B6B" w:rsidP="004F1C72">
      <w:pPr>
        <w:pStyle w:val="ListParagraph"/>
        <w:numPr>
          <w:ilvl w:val="0"/>
          <w:numId w:val="10"/>
        </w:numPr>
        <w:rPr>
          <w:rFonts w:ascii="Century Gothic" w:hAnsi="Century Gothic"/>
          <w:i/>
          <w:iCs/>
          <w:lang w:val="en-US"/>
        </w:rPr>
      </w:pPr>
      <w:r w:rsidRPr="004F1C72">
        <w:rPr>
          <w:rFonts w:ascii="Century Gothic" w:hAnsi="Century Gothic"/>
          <w:i/>
          <w:iCs/>
          <w:lang w:val="en-US"/>
        </w:rPr>
        <w:t>Why are some people more prone to dyskinesia than others?</w:t>
      </w:r>
    </w:p>
    <w:p w14:paraId="2C209614" w14:textId="77777777" w:rsidR="004F1C72" w:rsidRPr="004F1C72" w:rsidRDefault="004F1C72" w:rsidP="004F1C72">
      <w:pPr>
        <w:pStyle w:val="ListParagraph"/>
        <w:rPr>
          <w:rFonts w:ascii="Century Gothic" w:hAnsi="Century Gothic"/>
          <w:i/>
          <w:iCs/>
          <w:lang w:val="en-US"/>
        </w:rPr>
      </w:pPr>
    </w:p>
    <w:p w14:paraId="2236FA9C" w14:textId="73B658E9" w:rsidR="00F646AA" w:rsidRPr="004F1C72" w:rsidRDefault="00F646AA" w:rsidP="004F1C72">
      <w:pPr>
        <w:pStyle w:val="ListParagraph"/>
        <w:numPr>
          <w:ilvl w:val="0"/>
          <w:numId w:val="11"/>
        </w:numPr>
        <w:rPr>
          <w:rFonts w:ascii="Century Gothic" w:hAnsi="Century Gothic"/>
          <w:lang w:val="en-US"/>
        </w:rPr>
      </w:pPr>
      <w:r w:rsidRPr="004F1C72">
        <w:rPr>
          <w:rFonts w:ascii="Century Gothic" w:hAnsi="Century Gothic"/>
          <w:lang w:val="en-US"/>
        </w:rPr>
        <w:t xml:space="preserve">The answer seems mostly to be related to some combination of genetics, age, and treatment. The exact underpinnings of how these factors interact to cause dyskinesia is unknown. </w:t>
      </w:r>
    </w:p>
    <w:p w14:paraId="07836750" w14:textId="77777777" w:rsidR="00F646AA" w:rsidRPr="004F1C72" w:rsidRDefault="00F646AA" w:rsidP="00F646AA">
      <w:pPr>
        <w:rPr>
          <w:rFonts w:ascii="Century Gothic" w:hAnsi="Century Gothic"/>
          <w:lang w:val="en-US"/>
        </w:rPr>
      </w:pPr>
    </w:p>
    <w:p w14:paraId="31FBB06B" w14:textId="2B3F7BF4" w:rsidR="00832AE9" w:rsidRDefault="00832AE9" w:rsidP="004F1C72">
      <w:pPr>
        <w:pStyle w:val="ListParagraph"/>
        <w:numPr>
          <w:ilvl w:val="0"/>
          <w:numId w:val="12"/>
        </w:numPr>
        <w:rPr>
          <w:rFonts w:ascii="Century Gothic" w:hAnsi="Century Gothic"/>
          <w:i/>
          <w:iCs/>
          <w:lang w:val="en-US"/>
        </w:rPr>
      </w:pPr>
      <w:r w:rsidRPr="004F1C72">
        <w:rPr>
          <w:rFonts w:ascii="Century Gothic" w:hAnsi="Century Gothic"/>
          <w:i/>
          <w:iCs/>
          <w:lang w:val="en-US"/>
        </w:rPr>
        <w:t>Do any of the following factors</w:t>
      </w:r>
      <w:r w:rsidR="004F1C72">
        <w:rPr>
          <w:rFonts w:ascii="Century Gothic" w:hAnsi="Century Gothic"/>
          <w:i/>
          <w:iCs/>
          <w:lang w:val="en-US"/>
        </w:rPr>
        <w:t xml:space="preserve"> (age, genetics, body weight, use of PD drugs, gut malabsorption or depression)</w:t>
      </w:r>
      <w:r w:rsidRPr="004F1C72">
        <w:rPr>
          <w:rFonts w:ascii="Century Gothic" w:hAnsi="Century Gothic"/>
          <w:i/>
          <w:iCs/>
          <w:lang w:val="en-US"/>
        </w:rPr>
        <w:t xml:space="preserve"> increase the likelihood of developing dyskinesia</w:t>
      </w:r>
      <w:r w:rsidR="004F1C72">
        <w:rPr>
          <w:rFonts w:ascii="Century Gothic" w:hAnsi="Century Gothic"/>
          <w:i/>
          <w:iCs/>
          <w:lang w:val="en-US"/>
        </w:rPr>
        <w:t>?</w:t>
      </w:r>
      <w:r w:rsidRPr="004F1C72">
        <w:rPr>
          <w:rFonts w:ascii="Century Gothic" w:hAnsi="Century Gothic"/>
          <w:i/>
          <w:iCs/>
          <w:lang w:val="en-US"/>
        </w:rPr>
        <w:t xml:space="preserve"> </w:t>
      </w:r>
    </w:p>
    <w:p w14:paraId="6A181DEF" w14:textId="77777777" w:rsidR="004F1C72" w:rsidRDefault="004F1C72" w:rsidP="004F1C72">
      <w:pPr>
        <w:pStyle w:val="ListParagraph"/>
        <w:rPr>
          <w:rFonts w:ascii="Century Gothic" w:hAnsi="Century Gothic"/>
          <w:i/>
          <w:iCs/>
          <w:lang w:val="en-US"/>
        </w:rPr>
      </w:pPr>
    </w:p>
    <w:p w14:paraId="6C47C8BA" w14:textId="2375D265" w:rsidR="004F1C72" w:rsidRPr="004F1C72" w:rsidRDefault="004F1C72" w:rsidP="004F1C72">
      <w:pPr>
        <w:pStyle w:val="ListParagraph"/>
        <w:numPr>
          <w:ilvl w:val="0"/>
          <w:numId w:val="1"/>
        </w:numPr>
        <w:rPr>
          <w:rFonts w:ascii="Century Gothic" w:hAnsi="Century Gothic"/>
          <w:i/>
          <w:iCs/>
          <w:lang w:val="en-US"/>
        </w:rPr>
      </w:pPr>
    </w:p>
    <w:p w14:paraId="1FABC573" w14:textId="7109EEC0" w:rsidR="00832AE9" w:rsidRPr="004F1C72" w:rsidRDefault="00F646AA" w:rsidP="00832AE9">
      <w:pPr>
        <w:pStyle w:val="ListParagraph"/>
        <w:numPr>
          <w:ilvl w:val="1"/>
          <w:numId w:val="1"/>
        </w:numPr>
        <w:rPr>
          <w:rFonts w:ascii="Century Gothic" w:hAnsi="Century Gothic"/>
          <w:lang w:val="en-US"/>
        </w:rPr>
      </w:pPr>
      <w:r w:rsidRPr="00927E6C">
        <w:rPr>
          <w:rFonts w:ascii="Century Gothic" w:hAnsi="Century Gothic"/>
          <w:lang w:val="en-US"/>
        </w:rPr>
        <w:t>A</w:t>
      </w:r>
      <w:r w:rsidR="00832AE9" w:rsidRPr="00927E6C">
        <w:rPr>
          <w:rFonts w:ascii="Century Gothic" w:hAnsi="Century Gothic"/>
          <w:lang w:val="en-US"/>
        </w:rPr>
        <w:t>ge</w:t>
      </w:r>
      <w:r w:rsidRPr="00927E6C">
        <w:rPr>
          <w:rFonts w:ascii="Century Gothic" w:hAnsi="Century Gothic"/>
          <w:lang w:val="en-US"/>
        </w:rPr>
        <w:t xml:space="preserve"> </w:t>
      </w:r>
      <w:r w:rsidRPr="004F1C72">
        <w:rPr>
          <w:rFonts w:ascii="Century Gothic" w:hAnsi="Century Gothic"/>
          <w:lang w:val="en-US"/>
        </w:rPr>
        <w:t>– yes</w:t>
      </w:r>
      <w:r w:rsidR="005078EC">
        <w:rPr>
          <w:rFonts w:ascii="Century Gothic" w:hAnsi="Century Gothic"/>
          <w:lang w:val="en-US"/>
        </w:rPr>
        <w:t xml:space="preserve">, </w:t>
      </w:r>
      <w:r w:rsidRPr="004F1C72">
        <w:rPr>
          <w:rFonts w:ascii="Century Gothic" w:hAnsi="Century Gothic"/>
          <w:lang w:val="en-US"/>
        </w:rPr>
        <w:t>younger onset of PD has higher risk of dyskinesia</w:t>
      </w:r>
      <w:r w:rsidR="005078EC">
        <w:rPr>
          <w:rFonts w:ascii="Century Gothic" w:hAnsi="Century Gothic"/>
          <w:lang w:val="en-US"/>
        </w:rPr>
        <w:t>.</w:t>
      </w:r>
    </w:p>
    <w:p w14:paraId="1BC298AF" w14:textId="137F4483" w:rsidR="00832AE9" w:rsidRPr="004F1C72" w:rsidRDefault="00F646AA" w:rsidP="00832AE9">
      <w:pPr>
        <w:pStyle w:val="ListParagraph"/>
        <w:numPr>
          <w:ilvl w:val="1"/>
          <w:numId w:val="1"/>
        </w:numPr>
        <w:rPr>
          <w:rFonts w:ascii="Century Gothic" w:hAnsi="Century Gothic"/>
          <w:lang w:val="en-US"/>
        </w:rPr>
      </w:pPr>
      <w:r w:rsidRPr="004F1C72">
        <w:rPr>
          <w:rFonts w:ascii="Century Gothic" w:hAnsi="Century Gothic"/>
          <w:lang w:val="en-US"/>
        </w:rPr>
        <w:t>G</w:t>
      </w:r>
      <w:r w:rsidR="00832AE9" w:rsidRPr="004F1C72">
        <w:rPr>
          <w:rFonts w:ascii="Century Gothic" w:hAnsi="Century Gothic"/>
          <w:lang w:val="en-US"/>
        </w:rPr>
        <w:t>enetics</w:t>
      </w:r>
      <w:r w:rsidRPr="004F1C72">
        <w:rPr>
          <w:rFonts w:ascii="Century Gothic" w:hAnsi="Century Gothic"/>
          <w:lang w:val="en-US"/>
        </w:rPr>
        <w:t xml:space="preserve"> </w:t>
      </w:r>
      <w:r w:rsidR="005078EC">
        <w:rPr>
          <w:rFonts w:ascii="Century Gothic" w:hAnsi="Century Gothic"/>
          <w:lang w:val="en-US"/>
        </w:rPr>
        <w:t>might be causative.</w:t>
      </w:r>
    </w:p>
    <w:p w14:paraId="13682521" w14:textId="6978C951" w:rsidR="00832AE9" w:rsidRPr="004F1C72" w:rsidRDefault="004F1C72" w:rsidP="00832AE9">
      <w:pPr>
        <w:pStyle w:val="ListParagraph"/>
        <w:numPr>
          <w:ilvl w:val="1"/>
          <w:numId w:val="1"/>
        </w:numPr>
        <w:rPr>
          <w:rFonts w:ascii="Century Gothic" w:hAnsi="Century Gothic"/>
          <w:lang w:val="en-US"/>
        </w:rPr>
      </w:pPr>
      <w:r>
        <w:rPr>
          <w:rFonts w:ascii="Century Gothic" w:hAnsi="Century Gothic"/>
          <w:lang w:val="en-US"/>
        </w:rPr>
        <w:t>B</w:t>
      </w:r>
      <w:r w:rsidR="00832AE9" w:rsidRPr="004F1C72">
        <w:rPr>
          <w:rFonts w:ascii="Century Gothic" w:hAnsi="Century Gothic"/>
          <w:lang w:val="en-US"/>
        </w:rPr>
        <w:t>ody weight</w:t>
      </w:r>
      <w:r w:rsidR="00F646AA" w:rsidRPr="004F1C72">
        <w:rPr>
          <w:rFonts w:ascii="Century Gothic" w:hAnsi="Century Gothic"/>
          <w:lang w:val="en-US"/>
        </w:rPr>
        <w:t xml:space="preserve"> –</w:t>
      </w:r>
      <w:r w:rsidR="005078EC">
        <w:rPr>
          <w:rFonts w:ascii="Century Gothic" w:hAnsi="Century Gothic"/>
          <w:lang w:val="en-US"/>
        </w:rPr>
        <w:t xml:space="preserve"> </w:t>
      </w:r>
      <w:r w:rsidR="00896986">
        <w:rPr>
          <w:rFonts w:ascii="Century Gothic" w:hAnsi="Century Gothic"/>
          <w:lang w:val="en-US"/>
        </w:rPr>
        <w:t>t</w:t>
      </w:r>
      <w:r w:rsidR="005078EC">
        <w:rPr>
          <w:rFonts w:ascii="Century Gothic" w:hAnsi="Century Gothic"/>
          <w:lang w:val="en-US"/>
        </w:rPr>
        <w:t xml:space="preserve">hose with </w:t>
      </w:r>
      <w:r w:rsidR="00F646AA" w:rsidRPr="004F1C72">
        <w:rPr>
          <w:rFonts w:ascii="Century Gothic" w:hAnsi="Century Gothic"/>
          <w:lang w:val="en-US"/>
        </w:rPr>
        <w:t xml:space="preserve">lower body weight </w:t>
      </w:r>
      <w:r w:rsidR="005078EC">
        <w:rPr>
          <w:rFonts w:ascii="Century Gothic" w:hAnsi="Century Gothic"/>
          <w:lang w:val="en-US"/>
        </w:rPr>
        <w:t xml:space="preserve">are </w:t>
      </w:r>
      <w:r w:rsidR="00F646AA" w:rsidRPr="004F1C72">
        <w:rPr>
          <w:rFonts w:ascii="Century Gothic" w:hAnsi="Century Gothic"/>
          <w:lang w:val="en-US"/>
        </w:rPr>
        <w:t>more prone to dyskinesia, probably in part related to higher exposure to medication levels</w:t>
      </w:r>
      <w:r w:rsidR="005078EC">
        <w:rPr>
          <w:rFonts w:ascii="Century Gothic" w:hAnsi="Century Gothic"/>
          <w:lang w:val="en-US"/>
        </w:rPr>
        <w:t>.</w:t>
      </w:r>
      <w:r w:rsidR="00F646AA" w:rsidRPr="004F1C72">
        <w:rPr>
          <w:rFonts w:ascii="Century Gothic" w:hAnsi="Century Gothic"/>
          <w:lang w:val="en-US"/>
        </w:rPr>
        <w:t xml:space="preserve"> </w:t>
      </w:r>
    </w:p>
    <w:p w14:paraId="1D651545" w14:textId="09F4787F" w:rsidR="00832AE9" w:rsidRPr="004F1C72" w:rsidRDefault="004F1C72" w:rsidP="00832AE9">
      <w:pPr>
        <w:pStyle w:val="ListParagraph"/>
        <w:numPr>
          <w:ilvl w:val="1"/>
          <w:numId w:val="1"/>
        </w:numPr>
        <w:rPr>
          <w:rFonts w:ascii="Century Gothic" w:hAnsi="Century Gothic"/>
          <w:lang w:val="en-US"/>
        </w:rPr>
      </w:pPr>
      <w:r>
        <w:rPr>
          <w:rFonts w:ascii="Century Gothic" w:hAnsi="Century Gothic"/>
          <w:lang w:val="en-US"/>
        </w:rPr>
        <w:t>U</w:t>
      </w:r>
      <w:r w:rsidR="00832AE9" w:rsidRPr="004F1C72">
        <w:rPr>
          <w:rFonts w:ascii="Century Gothic" w:hAnsi="Century Gothic"/>
          <w:lang w:val="en-US"/>
        </w:rPr>
        <w:t>se of PD drugs (e.g. entacapone)</w:t>
      </w:r>
      <w:r w:rsidR="00F646AA" w:rsidRPr="004F1C72">
        <w:rPr>
          <w:rFonts w:ascii="Century Gothic" w:hAnsi="Century Gothic"/>
          <w:lang w:val="en-US"/>
        </w:rPr>
        <w:t xml:space="preserve"> – </w:t>
      </w:r>
      <w:r w:rsidR="005078EC">
        <w:rPr>
          <w:rFonts w:ascii="Century Gothic" w:hAnsi="Century Gothic"/>
          <w:lang w:val="en-US"/>
        </w:rPr>
        <w:t>d</w:t>
      </w:r>
      <w:r w:rsidR="00F646AA" w:rsidRPr="004F1C72">
        <w:rPr>
          <w:rFonts w:ascii="Century Gothic" w:hAnsi="Century Gothic"/>
          <w:lang w:val="en-US"/>
        </w:rPr>
        <w:t xml:space="preserve">yskinesia </w:t>
      </w:r>
      <w:r w:rsidR="005078EC">
        <w:rPr>
          <w:rFonts w:ascii="Century Gothic" w:hAnsi="Century Gothic"/>
          <w:lang w:val="en-US"/>
        </w:rPr>
        <w:t xml:space="preserve">is </w:t>
      </w:r>
      <w:r w:rsidR="00F646AA" w:rsidRPr="004F1C72">
        <w:rPr>
          <w:rFonts w:ascii="Century Gothic" w:hAnsi="Century Gothic"/>
          <w:lang w:val="en-US"/>
        </w:rPr>
        <w:t xml:space="preserve">mostly related to levodopa exposure. Higher dose and longer duration of levodopa </w:t>
      </w:r>
      <w:r w:rsidR="005078EC">
        <w:rPr>
          <w:rFonts w:ascii="Century Gothic" w:hAnsi="Century Gothic"/>
          <w:lang w:val="en-US"/>
        </w:rPr>
        <w:t xml:space="preserve">is </w:t>
      </w:r>
      <w:r w:rsidR="00F646AA" w:rsidRPr="004F1C72">
        <w:rPr>
          <w:rFonts w:ascii="Century Gothic" w:hAnsi="Century Gothic"/>
          <w:lang w:val="en-US"/>
        </w:rPr>
        <w:t>associated with greater risk. Entacapone and similar medications boost levodopa and may increase dyskinesia ris</w:t>
      </w:r>
      <w:r w:rsidR="005078EC">
        <w:rPr>
          <w:rFonts w:ascii="Century Gothic" w:hAnsi="Century Gothic"/>
          <w:lang w:val="en-US"/>
        </w:rPr>
        <w:t>k in some individuals.</w:t>
      </w:r>
    </w:p>
    <w:p w14:paraId="49EDA6F9" w14:textId="27B2C259" w:rsidR="00832AE9" w:rsidRPr="004F1C72" w:rsidRDefault="004F1C72" w:rsidP="00832AE9">
      <w:pPr>
        <w:pStyle w:val="ListParagraph"/>
        <w:numPr>
          <w:ilvl w:val="1"/>
          <w:numId w:val="1"/>
        </w:numPr>
        <w:rPr>
          <w:rFonts w:ascii="Century Gothic" w:hAnsi="Century Gothic"/>
          <w:lang w:val="en-US"/>
        </w:rPr>
      </w:pPr>
      <w:r>
        <w:rPr>
          <w:rFonts w:ascii="Century Gothic" w:hAnsi="Century Gothic"/>
          <w:lang w:val="en-US"/>
        </w:rPr>
        <w:t>G</w:t>
      </w:r>
      <w:r w:rsidR="00832AE9" w:rsidRPr="004F1C72">
        <w:rPr>
          <w:rFonts w:ascii="Century Gothic" w:hAnsi="Century Gothic"/>
          <w:lang w:val="en-US"/>
        </w:rPr>
        <w:t>ut malabsorption</w:t>
      </w:r>
      <w:r w:rsidR="00F646AA" w:rsidRPr="004F1C72">
        <w:rPr>
          <w:rFonts w:ascii="Century Gothic" w:hAnsi="Century Gothic"/>
          <w:lang w:val="en-US"/>
        </w:rPr>
        <w:t xml:space="preserve"> – no</w:t>
      </w:r>
      <w:r w:rsidR="005078EC">
        <w:rPr>
          <w:rFonts w:ascii="Century Gothic" w:hAnsi="Century Gothic"/>
          <w:lang w:val="en-US"/>
        </w:rPr>
        <w:t>, this is not associated.</w:t>
      </w:r>
    </w:p>
    <w:p w14:paraId="3D2B6D0F" w14:textId="4D8C7F72" w:rsidR="00832AE9" w:rsidRPr="004F1C72" w:rsidRDefault="004F1C72" w:rsidP="00832AE9">
      <w:pPr>
        <w:pStyle w:val="ListParagraph"/>
        <w:numPr>
          <w:ilvl w:val="1"/>
          <w:numId w:val="1"/>
        </w:numPr>
        <w:rPr>
          <w:rFonts w:ascii="Century Gothic" w:hAnsi="Century Gothic"/>
          <w:lang w:val="en-US"/>
        </w:rPr>
      </w:pPr>
      <w:r>
        <w:rPr>
          <w:rFonts w:ascii="Century Gothic" w:hAnsi="Century Gothic"/>
          <w:lang w:val="en-US"/>
        </w:rPr>
        <w:t>D</w:t>
      </w:r>
      <w:r w:rsidR="00832AE9" w:rsidRPr="004F1C72">
        <w:rPr>
          <w:rFonts w:ascii="Century Gothic" w:hAnsi="Century Gothic"/>
          <w:lang w:val="en-US"/>
        </w:rPr>
        <w:t>epression</w:t>
      </w:r>
      <w:r w:rsidR="00F646AA" w:rsidRPr="004F1C72">
        <w:rPr>
          <w:rFonts w:ascii="Century Gothic" w:hAnsi="Century Gothic"/>
          <w:lang w:val="en-US"/>
        </w:rPr>
        <w:t xml:space="preserve"> </w:t>
      </w:r>
      <w:r w:rsidR="005078EC">
        <w:rPr>
          <w:rFonts w:ascii="Century Gothic" w:hAnsi="Century Gothic"/>
          <w:lang w:val="en-US"/>
        </w:rPr>
        <w:t>–</w:t>
      </w:r>
      <w:r w:rsidR="00F646AA" w:rsidRPr="004F1C72">
        <w:rPr>
          <w:rFonts w:ascii="Century Gothic" w:hAnsi="Century Gothic"/>
          <w:lang w:val="en-US"/>
        </w:rPr>
        <w:t xml:space="preserve"> no</w:t>
      </w:r>
      <w:r w:rsidR="005078EC">
        <w:rPr>
          <w:rFonts w:ascii="Century Gothic" w:hAnsi="Century Gothic"/>
          <w:lang w:val="en-US"/>
        </w:rPr>
        <w:t>, this is not associated.</w:t>
      </w:r>
    </w:p>
    <w:p w14:paraId="4603A0AE" w14:textId="77777777" w:rsidR="00832AE9" w:rsidRPr="004F1C72" w:rsidRDefault="00832AE9" w:rsidP="00832AE9">
      <w:pPr>
        <w:pStyle w:val="ListParagraph"/>
        <w:ind w:left="1440"/>
        <w:rPr>
          <w:rFonts w:ascii="Century Gothic" w:hAnsi="Century Gothic"/>
          <w:lang w:val="en-US"/>
        </w:rPr>
      </w:pPr>
    </w:p>
    <w:p w14:paraId="38F5626A" w14:textId="77777777" w:rsidR="004F1C72" w:rsidRPr="004F1C72" w:rsidRDefault="00CD0B6B" w:rsidP="004F1C72">
      <w:pPr>
        <w:pStyle w:val="ListParagraph"/>
        <w:numPr>
          <w:ilvl w:val="0"/>
          <w:numId w:val="13"/>
        </w:numPr>
        <w:rPr>
          <w:rFonts w:ascii="Century Gothic" w:hAnsi="Century Gothic"/>
          <w:lang w:val="en-US"/>
        </w:rPr>
      </w:pPr>
      <w:r w:rsidRPr="004F1C72">
        <w:rPr>
          <w:rFonts w:ascii="Century Gothic" w:hAnsi="Century Gothic"/>
          <w:i/>
          <w:iCs/>
          <w:lang w:val="en-US"/>
        </w:rPr>
        <w:t>What is the highest/recommended safe L-Dopa dosage a patient can take daily?</w:t>
      </w:r>
      <w:r w:rsidR="00F646AA" w:rsidRPr="004F1C72">
        <w:rPr>
          <w:rFonts w:ascii="Century Gothic" w:hAnsi="Century Gothic"/>
          <w:i/>
          <w:iCs/>
          <w:lang w:val="en-US"/>
        </w:rPr>
        <w:t xml:space="preserve"> </w:t>
      </w:r>
    </w:p>
    <w:p w14:paraId="39FD546B" w14:textId="77777777" w:rsidR="004F1C72" w:rsidRPr="004F1C72" w:rsidRDefault="004F1C72" w:rsidP="004F1C72">
      <w:pPr>
        <w:pStyle w:val="ListParagraph"/>
        <w:rPr>
          <w:rFonts w:ascii="Century Gothic" w:hAnsi="Century Gothic"/>
          <w:lang w:val="en-US"/>
        </w:rPr>
      </w:pPr>
    </w:p>
    <w:p w14:paraId="143810F3" w14:textId="19381E4B" w:rsidR="00CD0B6B" w:rsidRPr="004F1C72" w:rsidRDefault="005078EC" w:rsidP="004F1C72">
      <w:pPr>
        <w:pStyle w:val="ListParagraph"/>
        <w:numPr>
          <w:ilvl w:val="0"/>
          <w:numId w:val="14"/>
        </w:numPr>
        <w:rPr>
          <w:rFonts w:ascii="Century Gothic" w:hAnsi="Century Gothic"/>
          <w:lang w:val="en-US"/>
        </w:rPr>
      </w:pPr>
      <w:r>
        <w:rPr>
          <w:rFonts w:ascii="Century Gothic" w:hAnsi="Century Gothic"/>
          <w:lang w:val="en-US"/>
        </w:rPr>
        <w:t xml:space="preserve">Every PwP is different. </w:t>
      </w:r>
      <w:r w:rsidR="00F646AA" w:rsidRPr="004F1C72">
        <w:rPr>
          <w:rFonts w:ascii="Century Gothic" w:hAnsi="Century Gothic"/>
          <w:lang w:val="en-US"/>
        </w:rPr>
        <w:t xml:space="preserve">There is no single highest dose for a patient. The right dose is typically considered the dose that provides good control of symptoms </w:t>
      </w:r>
      <w:r>
        <w:rPr>
          <w:rFonts w:ascii="Century Gothic" w:hAnsi="Century Gothic"/>
          <w:lang w:val="en-US"/>
        </w:rPr>
        <w:t xml:space="preserve">for the individual </w:t>
      </w:r>
      <w:r w:rsidR="00F646AA" w:rsidRPr="004F1C72">
        <w:rPr>
          <w:rFonts w:ascii="Century Gothic" w:hAnsi="Century Gothic"/>
          <w:lang w:val="en-US"/>
        </w:rPr>
        <w:t xml:space="preserve">without inducing side effects. In early PD, most patients are on around about ~300 mg of levodopa per day. </w:t>
      </w:r>
      <w:r w:rsidR="00FC4761" w:rsidRPr="004F1C72">
        <w:rPr>
          <w:rFonts w:ascii="Century Gothic" w:hAnsi="Century Gothic"/>
          <w:lang w:val="en-US"/>
        </w:rPr>
        <w:t xml:space="preserve">Doses higher than 800-1000 mg per day are unusual but may be necessary in some patients. Levodopa </w:t>
      </w:r>
      <w:r w:rsidR="00FC4761" w:rsidRPr="004F1C72">
        <w:rPr>
          <w:rFonts w:ascii="Century Gothic" w:hAnsi="Century Gothic"/>
          <w:lang w:val="en-US"/>
        </w:rPr>
        <w:lastRenderedPageBreak/>
        <w:t xml:space="preserve">doses in the Rytary formulation are different, and are typically 2-2.5 times higher. </w:t>
      </w:r>
    </w:p>
    <w:p w14:paraId="45EEF6AB" w14:textId="77777777" w:rsidR="00832AE9" w:rsidRPr="004F1C72" w:rsidRDefault="00832AE9" w:rsidP="00832AE9">
      <w:pPr>
        <w:pStyle w:val="ListParagraph"/>
        <w:rPr>
          <w:rFonts w:ascii="Century Gothic" w:hAnsi="Century Gothic"/>
          <w:lang w:val="en-US"/>
        </w:rPr>
      </w:pPr>
    </w:p>
    <w:p w14:paraId="7B79E764" w14:textId="3FC3653C" w:rsidR="00F92211" w:rsidRPr="004F1C72" w:rsidRDefault="00CD0B6B" w:rsidP="00F92211">
      <w:pPr>
        <w:rPr>
          <w:rFonts w:ascii="Century Gothic" w:hAnsi="Century Gothic"/>
          <w:b/>
          <w:bCs/>
          <w:u w:val="single"/>
          <w:lang w:val="en-US"/>
        </w:rPr>
      </w:pPr>
      <w:r w:rsidRPr="004F1C72">
        <w:rPr>
          <w:rFonts w:ascii="Century Gothic" w:hAnsi="Century Gothic"/>
          <w:b/>
          <w:bCs/>
          <w:u w:val="single"/>
          <w:lang w:val="en-US"/>
        </w:rPr>
        <w:t>Non-motor symptoms</w:t>
      </w:r>
      <w:r w:rsidR="000C5CF4">
        <w:rPr>
          <w:rFonts w:ascii="Century Gothic" w:hAnsi="Century Gothic"/>
          <w:b/>
          <w:bCs/>
          <w:u w:val="single"/>
          <w:lang w:val="en-US"/>
        </w:rPr>
        <w:t xml:space="preserve"> (NMS)</w:t>
      </w:r>
    </w:p>
    <w:p w14:paraId="0EAEEF67" w14:textId="49928B1A" w:rsidR="00832AE9" w:rsidRPr="004F1C72" w:rsidRDefault="00CD0B6B" w:rsidP="004F1C72">
      <w:pPr>
        <w:pStyle w:val="ListParagraph"/>
        <w:numPr>
          <w:ilvl w:val="0"/>
          <w:numId w:val="15"/>
        </w:numPr>
        <w:rPr>
          <w:rFonts w:ascii="Century Gothic" w:hAnsi="Century Gothic"/>
          <w:i/>
          <w:iCs/>
          <w:u w:val="single"/>
          <w:lang w:val="en-US"/>
        </w:rPr>
      </w:pPr>
      <w:r w:rsidRPr="004F1C72">
        <w:rPr>
          <w:rFonts w:ascii="Century Gothic" w:hAnsi="Century Gothic"/>
          <w:i/>
          <w:iCs/>
          <w:lang w:val="en-US"/>
        </w:rPr>
        <w:t>How do we get more focus on treatment for NMS?</w:t>
      </w:r>
      <w:r w:rsidR="00832AE9" w:rsidRPr="004F1C72">
        <w:rPr>
          <w:rFonts w:ascii="Century Gothic" w:eastAsia="Times New Roman" w:hAnsi="Century Gothic" w:cs="Calibri"/>
          <w:i/>
          <w:iCs/>
          <w:color w:val="000000"/>
          <w:lang w:eastAsia="en-GB"/>
        </w:rPr>
        <w:t xml:space="preserve"> </w:t>
      </w:r>
    </w:p>
    <w:p w14:paraId="2F1458D6" w14:textId="77777777" w:rsidR="004F1C72" w:rsidRPr="004F1C72" w:rsidRDefault="004F1C72" w:rsidP="004F1C72">
      <w:pPr>
        <w:pStyle w:val="ListParagraph"/>
        <w:rPr>
          <w:rFonts w:ascii="Century Gothic" w:hAnsi="Century Gothic"/>
          <w:i/>
          <w:iCs/>
          <w:u w:val="single"/>
          <w:lang w:val="en-US"/>
        </w:rPr>
      </w:pPr>
    </w:p>
    <w:p w14:paraId="273131AB" w14:textId="52536F51" w:rsidR="004F1C72" w:rsidRDefault="005078EC" w:rsidP="00774445">
      <w:pPr>
        <w:pStyle w:val="ListParagraph"/>
        <w:numPr>
          <w:ilvl w:val="0"/>
          <w:numId w:val="16"/>
        </w:numPr>
        <w:rPr>
          <w:rFonts w:ascii="Century Gothic" w:hAnsi="Century Gothic"/>
          <w:lang w:val="en-US"/>
        </w:rPr>
      </w:pPr>
      <w:r>
        <w:rPr>
          <w:rFonts w:ascii="Century Gothic" w:hAnsi="Century Gothic"/>
          <w:lang w:val="en-US"/>
        </w:rPr>
        <w:t>We need</w:t>
      </w:r>
      <w:r w:rsidR="004F1C72" w:rsidRPr="007D166F">
        <w:rPr>
          <w:rFonts w:ascii="Century Gothic" w:hAnsi="Century Gothic"/>
          <w:lang w:val="en-US"/>
        </w:rPr>
        <w:t xml:space="preserve"> more awareness and crucially patient voice telling </w:t>
      </w:r>
      <w:r w:rsidR="00CE25AE">
        <w:rPr>
          <w:rFonts w:ascii="Century Gothic" w:hAnsi="Century Gothic"/>
          <w:lang w:val="en-US"/>
        </w:rPr>
        <w:t>g</w:t>
      </w:r>
      <w:r>
        <w:rPr>
          <w:rFonts w:ascii="Century Gothic" w:hAnsi="Century Gothic"/>
          <w:lang w:val="en-US"/>
        </w:rPr>
        <w:t xml:space="preserve">overnment, </w:t>
      </w:r>
      <w:r w:rsidR="00CE25AE">
        <w:rPr>
          <w:rFonts w:ascii="Century Gothic" w:hAnsi="Century Gothic"/>
          <w:lang w:val="en-US"/>
        </w:rPr>
        <w:t>c</w:t>
      </w:r>
      <w:r w:rsidR="004F1C72" w:rsidRPr="007D166F">
        <w:rPr>
          <w:rFonts w:ascii="Century Gothic" w:hAnsi="Century Gothic"/>
          <w:lang w:val="en-US"/>
        </w:rPr>
        <w:t xml:space="preserve">harity and </w:t>
      </w:r>
      <w:r w:rsidR="00CE25AE">
        <w:rPr>
          <w:rFonts w:ascii="Century Gothic" w:hAnsi="Century Gothic"/>
          <w:lang w:val="en-US"/>
        </w:rPr>
        <w:t>i</w:t>
      </w:r>
      <w:r w:rsidR="004F1C72" w:rsidRPr="007D166F">
        <w:rPr>
          <w:rFonts w:ascii="Century Gothic" w:hAnsi="Century Gothic"/>
          <w:lang w:val="en-US"/>
        </w:rPr>
        <w:t>ndustry to focus their resource and money to management of NMS rather than yet more millions on genetic and motor symptoms research.</w:t>
      </w:r>
    </w:p>
    <w:p w14:paraId="685AFEDD" w14:textId="77777777" w:rsidR="007D166F" w:rsidRPr="007D166F" w:rsidRDefault="007D166F" w:rsidP="007D166F">
      <w:pPr>
        <w:pStyle w:val="ListParagraph"/>
        <w:rPr>
          <w:rFonts w:ascii="Century Gothic" w:hAnsi="Century Gothic"/>
          <w:lang w:val="en-US"/>
        </w:rPr>
      </w:pPr>
    </w:p>
    <w:p w14:paraId="744AFDF7" w14:textId="25D6BE7A" w:rsidR="004F1C72" w:rsidRDefault="00832AE9" w:rsidP="004F1C72">
      <w:pPr>
        <w:pStyle w:val="ListParagraph"/>
        <w:numPr>
          <w:ilvl w:val="0"/>
          <w:numId w:val="17"/>
        </w:numPr>
        <w:spacing w:after="0" w:line="240" w:lineRule="auto"/>
        <w:rPr>
          <w:rFonts w:ascii="Century Gothic" w:eastAsia="Times New Roman" w:hAnsi="Century Gothic" w:cs="Calibri"/>
          <w:i/>
          <w:iCs/>
          <w:color w:val="000000"/>
          <w:lang w:eastAsia="en-GB"/>
        </w:rPr>
      </w:pPr>
      <w:r w:rsidRPr="004F1C72">
        <w:rPr>
          <w:rFonts w:ascii="Century Gothic" w:eastAsia="Times New Roman" w:hAnsi="Century Gothic" w:cs="Calibri"/>
          <w:i/>
          <w:iCs/>
          <w:color w:val="000000"/>
          <w:lang w:eastAsia="en-GB"/>
        </w:rPr>
        <w:t>Is DBS any good for dealing with non-motor symptoms?</w:t>
      </w:r>
    </w:p>
    <w:p w14:paraId="3A5603F8" w14:textId="77777777" w:rsidR="004F1C72" w:rsidRDefault="004F1C72" w:rsidP="004F1C72">
      <w:pPr>
        <w:pStyle w:val="ListParagraph"/>
        <w:spacing w:after="0" w:line="240" w:lineRule="auto"/>
        <w:rPr>
          <w:rFonts w:ascii="Century Gothic" w:eastAsia="Times New Roman" w:hAnsi="Century Gothic" w:cs="Calibri"/>
          <w:i/>
          <w:iCs/>
          <w:color w:val="000000"/>
          <w:lang w:eastAsia="en-GB"/>
        </w:rPr>
      </w:pPr>
    </w:p>
    <w:p w14:paraId="6F4D62A4" w14:textId="146097CF" w:rsidR="004F1C72" w:rsidRPr="004F1C72" w:rsidRDefault="005078EC" w:rsidP="004F1C72">
      <w:pPr>
        <w:pStyle w:val="ListParagraph"/>
        <w:numPr>
          <w:ilvl w:val="0"/>
          <w:numId w:val="18"/>
        </w:numPr>
        <w:spacing w:after="0" w:line="240"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DBS </w:t>
      </w:r>
      <w:r w:rsidR="00994F0B" w:rsidRPr="00994F0B">
        <w:rPr>
          <w:rFonts w:ascii="Century Gothic" w:eastAsia="Times New Roman" w:hAnsi="Century Gothic" w:cs="Calibri"/>
          <w:color w:val="000000"/>
          <w:lang w:eastAsia="en-GB"/>
        </w:rPr>
        <w:t xml:space="preserve">is. Specifically helping sleep, pain and some aspects of urinary dysfunction. </w:t>
      </w:r>
      <w:r>
        <w:rPr>
          <w:rFonts w:ascii="Century Gothic" w:eastAsia="Times New Roman" w:hAnsi="Century Gothic" w:cs="Calibri"/>
          <w:color w:val="000000"/>
          <w:lang w:eastAsia="en-GB"/>
        </w:rPr>
        <w:t xml:space="preserve">Panellist Professor Ray Chaudhuri has recommended some reading on this </w:t>
      </w:r>
      <w:r w:rsidRPr="00994F0B">
        <w:rPr>
          <w:rFonts w:ascii="Century Gothic" w:eastAsia="Times New Roman" w:hAnsi="Century Gothic" w:cs="Calibri"/>
          <w:color w:val="000000"/>
          <w:lang w:eastAsia="en-GB"/>
        </w:rPr>
        <w:t>(</w:t>
      </w:r>
      <w:r w:rsidR="00CB4B45">
        <w:rPr>
          <w:rFonts w:ascii="Century Gothic" w:eastAsia="Times New Roman" w:hAnsi="Century Gothic" w:cs="Calibri"/>
          <w:color w:val="000000"/>
          <w:lang w:eastAsia="en-GB"/>
        </w:rPr>
        <w:t xml:space="preserve">Dafsari </w:t>
      </w:r>
      <w:bookmarkStart w:id="0" w:name="_GoBack"/>
      <w:bookmarkEnd w:id="0"/>
      <w:r w:rsidRPr="00994F0B">
        <w:rPr>
          <w:rFonts w:ascii="Century Gothic" w:eastAsia="Times New Roman" w:hAnsi="Century Gothic" w:cs="Calibri"/>
          <w:color w:val="000000"/>
          <w:lang w:eastAsia="en-GB"/>
        </w:rPr>
        <w:t>et al, 2018 and 2019</w:t>
      </w:r>
      <w:r>
        <w:rPr>
          <w:rFonts w:ascii="Century Gothic" w:eastAsia="Times New Roman" w:hAnsi="Century Gothic" w:cs="Calibri"/>
          <w:color w:val="000000"/>
          <w:lang w:eastAsia="en-GB"/>
        </w:rPr>
        <w:t>), please see papers attached</w:t>
      </w:r>
      <w:r w:rsidR="00994F0B" w:rsidRPr="00994F0B">
        <w:rPr>
          <w:rFonts w:ascii="Century Gothic" w:eastAsia="Times New Roman" w:hAnsi="Century Gothic" w:cs="Calibri"/>
          <w:color w:val="000000"/>
          <w:lang w:eastAsia="en-GB"/>
        </w:rPr>
        <w:t>.</w:t>
      </w:r>
    </w:p>
    <w:p w14:paraId="1F712D2D" w14:textId="77777777" w:rsidR="00CD0B6B" w:rsidRPr="004F1C72" w:rsidRDefault="00CD0B6B" w:rsidP="00832AE9">
      <w:pPr>
        <w:pStyle w:val="ListParagraph"/>
        <w:rPr>
          <w:rFonts w:ascii="Century Gothic" w:hAnsi="Century Gothic"/>
          <w:lang w:val="en-US"/>
        </w:rPr>
      </w:pPr>
    </w:p>
    <w:p w14:paraId="53DEE68C" w14:textId="77777777" w:rsidR="00CD0B6B" w:rsidRPr="004F1C72" w:rsidRDefault="00CD0B6B" w:rsidP="00CD0B6B">
      <w:pPr>
        <w:spacing w:after="0" w:line="240" w:lineRule="auto"/>
        <w:rPr>
          <w:rFonts w:ascii="Century Gothic" w:eastAsia="Times New Roman" w:hAnsi="Century Gothic" w:cs="Calibri"/>
          <w:color w:val="000000"/>
          <w:lang w:eastAsia="en-GB"/>
        </w:rPr>
      </w:pPr>
    </w:p>
    <w:p w14:paraId="293F627A" w14:textId="77777777" w:rsidR="00CD0B6B" w:rsidRPr="00994F0B" w:rsidRDefault="00832AE9" w:rsidP="00CD0B6B">
      <w:pPr>
        <w:spacing w:after="0" w:line="240" w:lineRule="auto"/>
        <w:rPr>
          <w:rFonts w:ascii="Century Gothic" w:eastAsia="Times New Roman" w:hAnsi="Century Gothic" w:cs="Calibri"/>
          <w:b/>
          <w:bCs/>
          <w:color w:val="000000"/>
          <w:u w:val="single"/>
          <w:lang w:eastAsia="en-GB"/>
        </w:rPr>
      </w:pPr>
      <w:r w:rsidRPr="00994F0B">
        <w:rPr>
          <w:rFonts w:ascii="Century Gothic" w:eastAsia="Times New Roman" w:hAnsi="Century Gothic" w:cs="Calibri"/>
          <w:b/>
          <w:bCs/>
          <w:color w:val="000000"/>
          <w:u w:val="single"/>
          <w:lang w:eastAsia="en-GB"/>
        </w:rPr>
        <w:t>Advanced Therapy</w:t>
      </w:r>
    </w:p>
    <w:p w14:paraId="7FB19F15" w14:textId="77777777" w:rsidR="00832AE9" w:rsidRPr="004F1C72" w:rsidRDefault="00832AE9" w:rsidP="00CD0B6B">
      <w:pPr>
        <w:spacing w:after="0" w:line="240" w:lineRule="auto"/>
        <w:rPr>
          <w:rFonts w:ascii="Century Gothic" w:eastAsia="Times New Roman" w:hAnsi="Century Gothic" w:cs="Calibri"/>
          <w:color w:val="000000"/>
          <w:u w:val="single"/>
          <w:lang w:eastAsia="en-GB"/>
        </w:rPr>
      </w:pPr>
    </w:p>
    <w:p w14:paraId="5C30F4BE" w14:textId="0386DDEA" w:rsidR="00832AE9" w:rsidRDefault="00CD0B6B" w:rsidP="00C7080E">
      <w:pPr>
        <w:pStyle w:val="ListParagraph"/>
        <w:numPr>
          <w:ilvl w:val="0"/>
          <w:numId w:val="19"/>
        </w:numPr>
        <w:spacing w:after="0" w:line="240" w:lineRule="auto"/>
        <w:rPr>
          <w:rFonts w:ascii="Century Gothic" w:eastAsia="Times New Roman" w:hAnsi="Century Gothic" w:cs="Calibri"/>
          <w:i/>
          <w:iCs/>
          <w:color w:val="000000"/>
          <w:lang w:eastAsia="en-GB"/>
        </w:rPr>
      </w:pPr>
      <w:r w:rsidRPr="00C7080E">
        <w:rPr>
          <w:rFonts w:ascii="Century Gothic" w:eastAsia="Times New Roman" w:hAnsi="Century Gothic" w:cs="Calibri"/>
          <w:i/>
          <w:iCs/>
          <w:color w:val="000000"/>
          <w:lang w:eastAsia="en-GB"/>
        </w:rPr>
        <w:t xml:space="preserve">How effective </w:t>
      </w:r>
      <w:r w:rsidR="00C7080E">
        <w:rPr>
          <w:rFonts w:ascii="Century Gothic" w:eastAsia="Times New Roman" w:hAnsi="Century Gothic" w:cs="Calibri"/>
          <w:i/>
          <w:iCs/>
          <w:color w:val="000000"/>
          <w:lang w:eastAsia="en-GB"/>
        </w:rPr>
        <w:t xml:space="preserve">are advanced therapies (eg. apomorphine) </w:t>
      </w:r>
      <w:r w:rsidRPr="00C7080E">
        <w:rPr>
          <w:rFonts w:ascii="Century Gothic" w:eastAsia="Times New Roman" w:hAnsi="Century Gothic" w:cs="Calibri"/>
          <w:i/>
          <w:iCs/>
          <w:color w:val="000000"/>
          <w:lang w:eastAsia="en-GB"/>
        </w:rPr>
        <w:t>in reducing dyskinesia</w:t>
      </w:r>
      <w:r w:rsidR="00832AE9" w:rsidRPr="00C7080E">
        <w:rPr>
          <w:rFonts w:ascii="Century Gothic" w:eastAsia="Times New Roman" w:hAnsi="Century Gothic" w:cs="Calibri"/>
          <w:i/>
          <w:iCs/>
          <w:color w:val="000000"/>
          <w:lang w:eastAsia="en-GB"/>
        </w:rPr>
        <w:t>?</w:t>
      </w:r>
    </w:p>
    <w:p w14:paraId="66BEAE1C" w14:textId="788F95F8" w:rsidR="00C7080E" w:rsidRDefault="00C7080E" w:rsidP="00C7080E">
      <w:pPr>
        <w:spacing w:after="0" w:line="240" w:lineRule="auto"/>
        <w:rPr>
          <w:rFonts w:ascii="Century Gothic" w:eastAsia="Times New Roman" w:hAnsi="Century Gothic" w:cs="Calibri"/>
          <w:i/>
          <w:iCs/>
          <w:color w:val="000000"/>
          <w:lang w:eastAsia="en-GB"/>
        </w:rPr>
      </w:pPr>
    </w:p>
    <w:p w14:paraId="37793AE3" w14:textId="0CDE1C31" w:rsidR="00C7080E" w:rsidRPr="00C7080E" w:rsidRDefault="00C7080E" w:rsidP="00C7080E">
      <w:pPr>
        <w:pStyle w:val="ListParagraph"/>
        <w:numPr>
          <w:ilvl w:val="0"/>
          <w:numId w:val="20"/>
        </w:numPr>
        <w:spacing w:after="0" w:line="240" w:lineRule="auto"/>
        <w:rPr>
          <w:rFonts w:ascii="Century Gothic" w:eastAsia="Times New Roman" w:hAnsi="Century Gothic" w:cs="Calibri"/>
          <w:color w:val="000000"/>
          <w:lang w:eastAsia="en-GB"/>
        </w:rPr>
      </w:pPr>
      <w:r w:rsidRPr="00C7080E">
        <w:rPr>
          <w:rFonts w:ascii="Century Gothic" w:eastAsia="Times New Roman" w:hAnsi="Century Gothic" w:cs="Calibri"/>
          <w:color w:val="000000"/>
          <w:lang w:eastAsia="en-GB"/>
        </w:rPr>
        <w:t xml:space="preserve">Apomorphine can reduce dyskinesias. </w:t>
      </w:r>
      <w:r w:rsidR="005078EC">
        <w:rPr>
          <w:rFonts w:ascii="Century Gothic" w:eastAsia="Times New Roman" w:hAnsi="Century Gothic" w:cs="Calibri"/>
          <w:color w:val="000000"/>
          <w:lang w:eastAsia="en-GB"/>
        </w:rPr>
        <w:t>Panellist Professor Ray Chaudhuri has shared some reading on this (</w:t>
      </w:r>
      <w:r w:rsidRPr="00C7080E">
        <w:rPr>
          <w:rFonts w:ascii="Century Gothic" w:eastAsia="Times New Roman" w:hAnsi="Century Gothic" w:cs="Calibri"/>
          <w:color w:val="000000"/>
          <w:lang w:eastAsia="en-GB"/>
        </w:rPr>
        <w:t>Euroinf 2 study</w:t>
      </w:r>
      <w:r w:rsidR="005078EC">
        <w:rPr>
          <w:rFonts w:ascii="Century Gothic" w:eastAsia="Times New Roman" w:hAnsi="Century Gothic" w:cs="Calibri"/>
          <w:color w:val="000000"/>
          <w:lang w:eastAsia="en-GB"/>
        </w:rPr>
        <w:t xml:space="preserve">, 2019), </w:t>
      </w:r>
      <w:r>
        <w:rPr>
          <w:rFonts w:ascii="Century Gothic" w:eastAsia="Times New Roman" w:hAnsi="Century Gothic" w:cs="Calibri"/>
          <w:color w:val="000000"/>
          <w:lang w:eastAsia="en-GB"/>
        </w:rPr>
        <w:t>please see paper attached</w:t>
      </w:r>
      <w:r w:rsidRPr="00C7080E">
        <w:rPr>
          <w:rFonts w:ascii="Century Gothic" w:eastAsia="Times New Roman" w:hAnsi="Century Gothic" w:cs="Calibri"/>
          <w:color w:val="000000"/>
          <w:lang w:eastAsia="en-GB"/>
        </w:rPr>
        <w:t>.</w:t>
      </w:r>
    </w:p>
    <w:p w14:paraId="441F317E" w14:textId="77777777" w:rsidR="00C7080E" w:rsidRPr="00C7080E" w:rsidRDefault="00C7080E" w:rsidP="00C7080E">
      <w:pPr>
        <w:spacing w:after="0" w:line="240" w:lineRule="auto"/>
        <w:rPr>
          <w:rFonts w:ascii="Century Gothic" w:eastAsia="Times New Roman" w:hAnsi="Century Gothic" w:cs="Calibri"/>
          <w:i/>
          <w:iCs/>
          <w:color w:val="000000"/>
          <w:lang w:eastAsia="en-GB"/>
        </w:rPr>
      </w:pPr>
    </w:p>
    <w:p w14:paraId="31CD2178" w14:textId="77777777" w:rsidR="00F92211" w:rsidRPr="004F1C72" w:rsidRDefault="00F92211" w:rsidP="00F92211">
      <w:pPr>
        <w:spacing w:after="0" w:line="240" w:lineRule="auto"/>
        <w:rPr>
          <w:rFonts w:ascii="Century Gothic" w:eastAsia="Times New Roman" w:hAnsi="Century Gothic" w:cs="Calibri"/>
          <w:color w:val="000000"/>
          <w:lang w:eastAsia="en-GB"/>
        </w:rPr>
      </w:pPr>
    </w:p>
    <w:p w14:paraId="2589D3C9" w14:textId="77777777" w:rsidR="00F92211" w:rsidRPr="004F1C72" w:rsidRDefault="00F92211" w:rsidP="00F92211">
      <w:pPr>
        <w:spacing w:after="0" w:line="240" w:lineRule="auto"/>
        <w:rPr>
          <w:rFonts w:ascii="Century Gothic" w:eastAsia="Times New Roman" w:hAnsi="Century Gothic" w:cs="Calibri"/>
          <w:color w:val="000000"/>
          <w:u w:val="single"/>
          <w:lang w:eastAsia="en-GB"/>
        </w:rPr>
      </w:pPr>
    </w:p>
    <w:p w14:paraId="338E7BAB" w14:textId="77777777" w:rsidR="00F92211" w:rsidRPr="00C7080E" w:rsidRDefault="00F92211" w:rsidP="00F92211">
      <w:pPr>
        <w:spacing w:after="0" w:line="240" w:lineRule="auto"/>
        <w:rPr>
          <w:rFonts w:ascii="Century Gothic" w:eastAsia="Times New Roman" w:hAnsi="Century Gothic" w:cs="Calibri"/>
          <w:b/>
          <w:bCs/>
          <w:color w:val="000000"/>
          <w:u w:val="single"/>
          <w:lang w:eastAsia="en-GB"/>
        </w:rPr>
      </w:pPr>
      <w:r w:rsidRPr="00C7080E">
        <w:rPr>
          <w:rFonts w:ascii="Century Gothic" w:eastAsia="Times New Roman" w:hAnsi="Century Gothic" w:cs="Calibri"/>
          <w:b/>
          <w:bCs/>
          <w:color w:val="000000"/>
          <w:u w:val="single"/>
          <w:lang w:eastAsia="en-GB"/>
        </w:rPr>
        <w:t>Prevention:</w:t>
      </w:r>
    </w:p>
    <w:p w14:paraId="7C2B2B0E" w14:textId="77777777" w:rsidR="00832AE9" w:rsidRPr="004F1C72" w:rsidRDefault="00832AE9" w:rsidP="00F92211">
      <w:pPr>
        <w:spacing w:after="0" w:line="240" w:lineRule="auto"/>
        <w:rPr>
          <w:rFonts w:ascii="Century Gothic" w:eastAsia="Times New Roman" w:hAnsi="Century Gothic" w:cs="Calibri"/>
          <w:color w:val="000000"/>
          <w:u w:val="single"/>
          <w:lang w:eastAsia="en-GB"/>
        </w:rPr>
      </w:pPr>
    </w:p>
    <w:p w14:paraId="59F423CC" w14:textId="19EE7891" w:rsidR="00C7080E" w:rsidRDefault="00F92211" w:rsidP="00C7080E">
      <w:pPr>
        <w:pStyle w:val="ListParagraph"/>
        <w:numPr>
          <w:ilvl w:val="0"/>
          <w:numId w:val="21"/>
        </w:numPr>
        <w:spacing w:after="0" w:line="240" w:lineRule="auto"/>
        <w:rPr>
          <w:rFonts w:ascii="Century Gothic" w:eastAsia="Times New Roman" w:hAnsi="Century Gothic" w:cs="Calibri"/>
          <w:color w:val="000000"/>
          <w:lang w:eastAsia="en-GB"/>
        </w:rPr>
      </w:pPr>
      <w:r w:rsidRPr="00C7080E">
        <w:rPr>
          <w:rFonts w:ascii="Century Gothic" w:eastAsia="Times New Roman" w:hAnsi="Century Gothic" w:cs="Calibri"/>
          <w:i/>
          <w:iCs/>
          <w:color w:val="000000"/>
          <w:lang w:eastAsia="en-GB"/>
        </w:rPr>
        <w:t>My neurologist said if I stayed under 300mg per day it reduces risk of developing dyskinesia, is this true?</w:t>
      </w:r>
      <w:r w:rsidR="00FC4761" w:rsidRPr="00C7080E">
        <w:rPr>
          <w:rFonts w:ascii="Century Gothic" w:eastAsia="Times New Roman" w:hAnsi="Century Gothic" w:cs="Calibri"/>
          <w:color w:val="000000"/>
          <w:lang w:eastAsia="en-GB"/>
        </w:rPr>
        <w:t xml:space="preserve"> </w:t>
      </w:r>
    </w:p>
    <w:p w14:paraId="6C940BD8" w14:textId="77777777" w:rsidR="00C7080E" w:rsidRDefault="00C7080E" w:rsidP="00C7080E">
      <w:pPr>
        <w:pStyle w:val="ListParagraph"/>
        <w:spacing w:after="0" w:line="240" w:lineRule="auto"/>
        <w:rPr>
          <w:rFonts w:ascii="Century Gothic" w:eastAsia="Times New Roman" w:hAnsi="Century Gothic" w:cs="Calibri"/>
          <w:color w:val="000000"/>
          <w:lang w:eastAsia="en-GB"/>
        </w:rPr>
      </w:pPr>
    </w:p>
    <w:p w14:paraId="1F1FB36C" w14:textId="784EF937" w:rsidR="00F92211" w:rsidRPr="00C7080E" w:rsidRDefault="00FC4761" w:rsidP="00C7080E">
      <w:pPr>
        <w:pStyle w:val="ListParagraph"/>
        <w:numPr>
          <w:ilvl w:val="0"/>
          <w:numId w:val="22"/>
        </w:numPr>
        <w:spacing w:after="0" w:line="240" w:lineRule="auto"/>
        <w:rPr>
          <w:rFonts w:ascii="Century Gothic" w:eastAsia="Times New Roman" w:hAnsi="Century Gothic" w:cs="Calibri"/>
          <w:color w:val="000000"/>
          <w:lang w:eastAsia="en-GB"/>
        </w:rPr>
      </w:pPr>
      <w:r w:rsidRPr="00C7080E">
        <w:rPr>
          <w:rFonts w:ascii="Century Gothic" w:eastAsia="Times New Roman" w:hAnsi="Century Gothic" w:cs="Calibri"/>
          <w:color w:val="000000"/>
          <w:lang w:eastAsia="en-GB"/>
        </w:rPr>
        <w:t xml:space="preserve">Doses of levodopa above 400 mg/day are associated with </w:t>
      </w:r>
      <w:r w:rsidR="005078EC">
        <w:rPr>
          <w:rFonts w:ascii="Century Gothic" w:eastAsia="Times New Roman" w:hAnsi="Century Gothic" w:cs="Calibri"/>
          <w:color w:val="000000"/>
          <w:lang w:eastAsia="en-GB"/>
        </w:rPr>
        <w:t xml:space="preserve">an </w:t>
      </w:r>
      <w:r w:rsidRPr="00C7080E">
        <w:rPr>
          <w:rFonts w:ascii="Century Gothic" w:eastAsia="Times New Roman" w:hAnsi="Century Gothic" w:cs="Calibri"/>
          <w:color w:val="000000"/>
          <w:lang w:eastAsia="en-GB"/>
        </w:rPr>
        <w:t xml:space="preserve">increased risk of dyskinesia. However, </w:t>
      </w:r>
      <w:r w:rsidR="005078EC">
        <w:rPr>
          <w:rFonts w:ascii="Century Gothic" w:eastAsia="Times New Roman" w:hAnsi="Century Gothic" w:cs="Calibri"/>
          <w:color w:val="000000"/>
          <w:lang w:eastAsia="en-GB"/>
        </w:rPr>
        <w:t>it is important to find balance. I</w:t>
      </w:r>
      <w:r w:rsidRPr="00C7080E">
        <w:rPr>
          <w:rFonts w:ascii="Century Gothic" w:eastAsia="Times New Roman" w:hAnsi="Century Gothic" w:cs="Calibri"/>
          <w:color w:val="000000"/>
          <w:lang w:eastAsia="en-GB"/>
        </w:rPr>
        <w:t xml:space="preserve">t </w:t>
      </w:r>
      <w:r w:rsidR="005078EC">
        <w:rPr>
          <w:rFonts w:ascii="Century Gothic" w:eastAsia="Times New Roman" w:hAnsi="Century Gothic" w:cs="Calibri"/>
          <w:color w:val="000000"/>
          <w:lang w:eastAsia="en-GB"/>
        </w:rPr>
        <w:t>may</w:t>
      </w:r>
      <w:r w:rsidRPr="00C7080E">
        <w:rPr>
          <w:rFonts w:ascii="Century Gothic" w:eastAsia="Times New Roman" w:hAnsi="Century Gothic" w:cs="Calibri"/>
          <w:color w:val="000000"/>
          <w:lang w:eastAsia="en-GB"/>
        </w:rPr>
        <w:t xml:space="preserve"> not make sense to stay on a low dose of levodopa if slowness and small movement</w:t>
      </w:r>
      <w:r w:rsidR="002E4058">
        <w:rPr>
          <w:rFonts w:ascii="Century Gothic" w:eastAsia="Times New Roman" w:hAnsi="Century Gothic" w:cs="Calibri"/>
          <w:color w:val="000000"/>
          <w:lang w:eastAsia="en-GB"/>
        </w:rPr>
        <w:t xml:space="preserve"> becomes problematic</w:t>
      </w:r>
      <w:r w:rsidRPr="00C7080E">
        <w:rPr>
          <w:rFonts w:ascii="Century Gothic" w:eastAsia="Times New Roman" w:hAnsi="Century Gothic" w:cs="Calibri"/>
          <w:color w:val="000000"/>
          <w:lang w:eastAsia="en-GB"/>
        </w:rPr>
        <w:t xml:space="preserve">. </w:t>
      </w:r>
    </w:p>
    <w:p w14:paraId="3E1FA42A" w14:textId="77777777" w:rsidR="00FC4761" w:rsidRPr="004F1C72" w:rsidRDefault="00FC4761" w:rsidP="00FC4761">
      <w:pPr>
        <w:spacing w:after="0" w:line="240" w:lineRule="auto"/>
        <w:ind w:left="360"/>
        <w:rPr>
          <w:rFonts w:ascii="Century Gothic" w:eastAsia="Times New Roman" w:hAnsi="Century Gothic" w:cs="Calibri"/>
          <w:color w:val="000000"/>
          <w:lang w:eastAsia="en-GB"/>
        </w:rPr>
      </w:pPr>
    </w:p>
    <w:p w14:paraId="1AA2AFE1" w14:textId="6DD9944B" w:rsidR="00C7080E" w:rsidRPr="00C7080E" w:rsidRDefault="00F92211" w:rsidP="00C7080E">
      <w:pPr>
        <w:pStyle w:val="ListParagraph"/>
        <w:numPr>
          <w:ilvl w:val="0"/>
          <w:numId w:val="23"/>
        </w:numPr>
        <w:spacing w:after="0" w:line="240" w:lineRule="auto"/>
        <w:rPr>
          <w:rFonts w:ascii="Century Gothic" w:eastAsia="Times New Roman" w:hAnsi="Century Gothic" w:cs="Calibri"/>
          <w:color w:val="000000"/>
          <w:lang w:eastAsia="en-GB"/>
        </w:rPr>
      </w:pPr>
      <w:r w:rsidRPr="00C7080E">
        <w:rPr>
          <w:rFonts w:ascii="Century Gothic" w:eastAsia="Times New Roman" w:hAnsi="Century Gothic" w:cs="Calibri"/>
          <w:i/>
          <w:iCs/>
          <w:color w:val="000000"/>
          <w:lang w:eastAsia="en-GB"/>
        </w:rPr>
        <w:t xml:space="preserve">If it is a </w:t>
      </w:r>
      <w:r w:rsidR="00DC2825" w:rsidRPr="00C7080E">
        <w:rPr>
          <w:rFonts w:ascii="Century Gothic" w:eastAsia="Times New Roman" w:hAnsi="Century Gothic" w:cs="Calibri"/>
          <w:i/>
          <w:iCs/>
          <w:color w:val="000000"/>
          <w:lang w:eastAsia="en-GB"/>
        </w:rPr>
        <w:t>self-induced</w:t>
      </w:r>
      <w:r w:rsidRPr="00C7080E">
        <w:rPr>
          <w:rFonts w:ascii="Century Gothic" w:eastAsia="Times New Roman" w:hAnsi="Century Gothic" w:cs="Calibri"/>
          <w:i/>
          <w:iCs/>
          <w:color w:val="000000"/>
          <w:lang w:eastAsia="en-GB"/>
        </w:rPr>
        <w:t xml:space="preserve"> (to an extent) condition - then what do we do?</w:t>
      </w:r>
    </w:p>
    <w:p w14:paraId="795FC07F" w14:textId="77777777" w:rsidR="00C7080E" w:rsidRPr="00C7080E" w:rsidRDefault="00C7080E" w:rsidP="00C7080E">
      <w:pPr>
        <w:pStyle w:val="ListParagraph"/>
        <w:spacing w:after="0" w:line="240" w:lineRule="auto"/>
        <w:rPr>
          <w:rFonts w:ascii="Century Gothic" w:eastAsia="Times New Roman" w:hAnsi="Century Gothic" w:cs="Calibri"/>
          <w:color w:val="000000"/>
          <w:lang w:eastAsia="en-GB"/>
        </w:rPr>
      </w:pPr>
    </w:p>
    <w:p w14:paraId="1E32E91D" w14:textId="328C7744" w:rsidR="00F92211" w:rsidRPr="00C7080E" w:rsidRDefault="00FC4761" w:rsidP="00C7080E">
      <w:pPr>
        <w:pStyle w:val="ListParagraph"/>
        <w:numPr>
          <w:ilvl w:val="0"/>
          <w:numId w:val="24"/>
        </w:numPr>
        <w:spacing w:after="0" w:line="240" w:lineRule="auto"/>
        <w:rPr>
          <w:rFonts w:ascii="Century Gothic" w:eastAsia="Times New Roman" w:hAnsi="Century Gothic" w:cs="Calibri"/>
          <w:color w:val="000000"/>
          <w:lang w:eastAsia="en-GB"/>
        </w:rPr>
      </w:pPr>
      <w:r w:rsidRPr="00C7080E">
        <w:rPr>
          <w:rFonts w:ascii="Century Gothic" w:eastAsia="Times New Roman" w:hAnsi="Century Gothic" w:cs="Calibri"/>
          <w:color w:val="000000"/>
          <w:lang w:eastAsia="en-GB"/>
        </w:rPr>
        <w:t xml:space="preserve">It is due to both progression of the disease and its treatment. There is interest in whether long acting levodopa formulations can reduce the development and expression of dyskinesia. Amantadine is a moderately effective treatment for dyskinesia in those who can tolerate it. In addition, research continues to seek new treatments to reduce or prevent dyskinesia.  </w:t>
      </w:r>
    </w:p>
    <w:sectPr w:rsidR="00F92211" w:rsidRPr="00C708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CA93" w14:textId="77777777" w:rsidR="004F1C72" w:rsidRDefault="004F1C72" w:rsidP="004F1C72">
      <w:pPr>
        <w:spacing w:after="0" w:line="240" w:lineRule="auto"/>
      </w:pPr>
      <w:r>
        <w:separator/>
      </w:r>
    </w:p>
  </w:endnote>
  <w:endnote w:type="continuationSeparator" w:id="0">
    <w:p w14:paraId="51F61654" w14:textId="77777777" w:rsidR="004F1C72" w:rsidRDefault="004F1C72" w:rsidP="004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C422" w14:textId="77777777" w:rsidR="004F1C72" w:rsidRDefault="004F1C72" w:rsidP="004F1C72">
      <w:pPr>
        <w:spacing w:after="0" w:line="240" w:lineRule="auto"/>
      </w:pPr>
      <w:r>
        <w:separator/>
      </w:r>
    </w:p>
  </w:footnote>
  <w:footnote w:type="continuationSeparator" w:id="0">
    <w:p w14:paraId="1521D0B8" w14:textId="77777777" w:rsidR="004F1C72" w:rsidRDefault="004F1C72" w:rsidP="004F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3DC2" w14:textId="112F7B98" w:rsidR="004F1C72" w:rsidRDefault="004F1C72">
    <w:pPr>
      <w:pStyle w:val="Header"/>
    </w:pPr>
    <w:r>
      <w:rPr>
        <w:noProof/>
      </w:rPr>
      <w:drawing>
        <wp:anchor distT="0" distB="0" distL="114300" distR="114300" simplePos="0" relativeHeight="251659264" behindDoc="1" locked="0" layoutInCell="1" allowOverlap="1" wp14:anchorId="65A522CD" wp14:editId="125B9D7D">
          <wp:simplePos x="0" y="0"/>
          <wp:positionH relativeFrom="column">
            <wp:posOffset>-466725</wp:posOffset>
          </wp:positionH>
          <wp:positionV relativeFrom="paragraph">
            <wp:posOffset>-229235</wp:posOffset>
          </wp:positionV>
          <wp:extent cx="972167" cy="695325"/>
          <wp:effectExtent l="0" t="0" r="0" b="0"/>
          <wp:wrapTight wrapText="bothSides">
            <wp:wrapPolygon edited="0">
              <wp:start x="0" y="0"/>
              <wp:lineTo x="0" y="20712"/>
              <wp:lineTo x="21176" y="20712"/>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67" cy="695325"/>
                  </a:xfrm>
                  <a:prstGeom prst="rect">
                    <a:avLst/>
                  </a:prstGeom>
                  <a:noFill/>
                  <a:ln>
                    <a:noFill/>
                  </a:ln>
                </pic:spPr>
              </pic:pic>
            </a:graphicData>
          </a:graphic>
        </wp:anchor>
      </w:drawing>
    </w:r>
  </w:p>
  <w:p w14:paraId="0BCCF758" w14:textId="77777777" w:rsidR="004F1C72" w:rsidRDefault="004F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6688"/>
    <w:multiLevelType w:val="hybridMultilevel"/>
    <w:tmpl w:val="729C3914"/>
    <w:lvl w:ilvl="0" w:tplc="04AC9C94">
      <w:start w:val="1"/>
      <w:numFmt w:val="upperLetter"/>
      <w:lvlText w:val="%1."/>
      <w:lvlJc w:val="left"/>
      <w:pPr>
        <w:ind w:left="720" w:hanging="360"/>
      </w:pPr>
      <w:rPr>
        <w:rFonts w:ascii="Century Gothic" w:eastAsiaTheme="minorHAnsi" w:hAnsi="Century Gothic" w:cstheme="minorBidi"/>
        <w:i w:val="0"/>
        <w:iCs w:val="0"/>
      </w:rPr>
    </w:lvl>
    <w:lvl w:ilvl="1" w:tplc="08090003">
      <w:start w:val="1"/>
      <w:numFmt w:val="bullet"/>
      <w:lvlText w:val="o"/>
      <w:lvlJc w:val="left"/>
      <w:pPr>
        <w:ind w:left="1440" w:hanging="360"/>
      </w:pPr>
      <w:rPr>
        <w:rFonts w:ascii="Courier New" w:hAnsi="Courier New" w:cs="Courier New" w:hint="default"/>
      </w:rPr>
    </w:lvl>
    <w:lvl w:ilvl="2" w:tplc="2DD24862">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952D4"/>
    <w:multiLevelType w:val="hybridMultilevel"/>
    <w:tmpl w:val="6C9E61F8"/>
    <w:lvl w:ilvl="0" w:tplc="08090019">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26D69"/>
    <w:multiLevelType w:val="hybridMultilevel"/>
    <w:tmpl w:val="02EC899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A32BE"/>
    <w:multiLevelType w:val="hybridMultilevel"/>
    <w:tmpl w:val="64F0D27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974B2"/>
    <w:multiLevelType w:val="hybridMultilevel"/>
    <w:tmpl w:val="86F4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70304"/>
    <w:multiLevelType w:val="hybridMultilevel"/>
    <w:tmpl w:val="6D56E0C6"/>
    <w:lvl w:ilvl="0" w:tplc="964C815A">
      <w:start w:val="17"/>
      <w:numFmt w:val="upperLetter"/>
      <w:lvlText w:val="%1."/>
      <w:lvlJc w:val="left"/>
      <w:pPr>
        <w:ind w:left="720" w:hanging="360"/>
      </w:pPr>
      <w:rPr>
        <w:rFonts w:hint="default"/>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02CD9"/>
    <w:multiLevelType w:val="hybridMultilevel"/>
    <w:tmpl w:val="4C769F6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7735B"/>
    <w:multiLevelType w:val="hybridMultilevel"/>
    <w:tmpl w:val="D6A627B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B45DA"/>
    <w:multiLevelType w:val="hybridMultilevel"/>
    <w:tmpl w:val="40C638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C7B5C"/>
    <w:multiLevelType w:val="hybridMultilevel"/>
    <w:tmpl w:val="618210C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C1D36"/>
    <w:multiLevelType w:val="hybridMultilevel"/>
    <w:tmpl w:val="182C91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D39E4"/>
    <w:multiLevelType w:val="hybridMultilevel"/>
    <w:tmpl w:val="363265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71BB0"/>
    <w:multiLevelType w:val="hybridMultilevel"/>
    <w:tmpl w:val="9142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B29A6"/>
    <w:multiLevelType w:val="hybridMultilevel"/>
    <w:tmpl w:val="143A60D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B2426"/>
    <w:multiLevelType w:val="hybridMultilevel"/>
    <w:tmpl w:val="D7EE81C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A5A79"/>
    <w:multiLevelType w:val="hybridMultilevel"/>
    <w:tmpl w:val="9F3A05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B593A"/>
    <w:multiLevelType w:val="hybridMultilevel"/>
    <w:tmpl w:val="7ACC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802E2"/>
    <w:multiLevelType w:val="hybridMultilevel"/>
    <w:tmpl w:val="12326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85FEA"/>
    <w:multiLevelType w:val="hybridMultilevel"/>
    <w:tmpl w:val="621C3C0E"/>
    <w:lvl w:ilvl="0" w:tplc="36C0B906">
      <w:start w:val="1"/>
      <w:numFmt w:val="upp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95EFA"/>
    <w:multiLevelType w:val="hybridMultilevel"/>
    <w:tmpl w:val="E01E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5366EF"/>
    <w:multiLevelType w:val="hybridMultilevel"/>
    <w:tmpl w:val="A280B0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A527E2"/>
    <w:multiLevelType w:val="hybridMultilevel"/>
    <w:tmpl w:val="9EAC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50F7E"/>
    <w:multiLevelType w:val="hybridMultilevel"/>
    <w:tmpl w:val="FD8A5AB0"/>
    <w:lvl w:ilvl="0" w:tplc="A85E9D1A">
      <w:start w:val="17"/>
      <w:numFmt w:val="upp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3B6A04"/>
    <w:multiLevelType w:val="hybridMultilevel"/>
    <w:tmpl w:val="47B42B8A"/>
    <w:lvl w:ilvl="0" w:tplc="CF2A2F92">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9"/>
  </w:num>
  <w:num w:numId="4">
    <w:abstractNumId w:val="12"/>
  </w:num>
  <w:num w:numId="5">
    <w:abstractNumId w:val="21"/>
  </w:num>
  <w:num w:numId="6">
    <w:abstractNumId w:val="16"/>
  </w:num>
  <w:num w:numId="7">
    <w:abstractNumId w:val="1"/>
  </w:num>
  <w:num w:numId="8">
    <w:abstractNumId w:val="6"/>
  </w:num>
  <w:num w:numId="9">
    <w:abstractNumId w:val="17"/>
  </w:num>
  <w:num w:numId="10">
    <w:abstractNumId w:val="14"/>
  </w:num>
  <w:num w:numId="11">
    <w:abstractNumId w:val="11"/>
  </w:num>
  <w:num w:numId="12">
    <w:abstractNumId w:val="3"/>
  </w:num>
  <w:num w:numId="13">
    <w:abstractNumId w:val="22"/>
  </w:num>
  <w:num w:numId="14">
    <w:abstractNumId w:val="15"/>
  </w:num>
  <w:num w:numId="15">
    <w:abstractNumId w:val="5"/>
  </w:num>
  <w:num w:numId="16">
    <w:abstractNumId w:val="20"/>
  </w:num>
  <w:num w:numId="17">
    <w:abstractNumId w:val="7"/>
  </w:num>
  <w:num w:numId="18">
    <w:abstractNumId w:val="10"/>
  </w:num>
  <w:num w:numId="19">
    <w:abstractNumId w:val="9"/>
  </w:num>
  <w:num w:numId="20">
    <w:abstractNumId w:val="23"/>
  </w:num>
  <w:num w:numId="21">
    <w:abstractNumId w:val="2"/>
  </w:num>
  <w:num w:numId="22">
    <w:abstractNumId w:val="8"/>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6B"/>
    <w:rsid w:val="000C17A7"/>
    <w:rsid w:val="000C5CF4"/>
    <w:rsid w:val="00130C01"/>
    <w:rsid w:val="002368BD"/>
    <w:rsid w:val="002E4058"/>
    <w:rsid w:val="004E7C40"/>
    <w:rsid w:val="004F1C72"/>
    <w:rsid w:val="005078EC"/>
    <w:rsid w:val="00601E62"/>
    <w:rsid w:val="0068735E"/>
    <w:rsid w:val="007D166F"/>
    <w:rsid w:val="00832AE9"/>
    <w:rsid w:val="00896986"/>
    <w:rsid w:val="00927E6C"/>
    <w:rsid w:val="00994F0B"/>
    <w:rsid w:val="00A34A4F"/>
    <w:rsid w:val="00BD3B4C"/>
    <w:rsid w:val="00C455AB"/>
    <w:rsid w:val="00C7080E"/>
    <w:rsid w:val="00CB4B45"/>
    <w:rsid w:val="00CD0B6B"/>
    <w:rsid w:val="00CE25AE"/>
    <w:rsid w:val="00D07DB2"/>
    <w:rsid w:val="00D71394"/>
    <w:rsid w:val="00DC2825"/>
    <w:rsid w:val="00E756D1"/>
    <w:rsid w:val="00EC5727"/>
    <w:rsid w:val="00F646AA"/>
    <w:rsid w:val="00F92211"/>
    <w:rsid w:val="00FC4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1BA6"/>
  <w15:chartTrackingRefBased/>
  <w15:docId w15:val="{3BBD3F81-F77A-4A30-90F1-47F34B12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6B"/>
    <w:pPr>
      <w:ind w:left="720"/>
      <w:contextualSpacing/>
    </w:pPr>
  </w:style>
  <w:style w:type="paragraph" w:styleId="Header">
    <w:name w:val="header"/>
    <w:basedOn w:val="Normal"/>
    <w:link w:val="HeaderChar"/>
    <w:uiPriority w:val="99"/>
    <w:unhideWhenUsed/>
    <w:rsid w:val="004F1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C72"/>
  </w:style>
  <w:style w:type="paragraph" w:styleId="Footer">
    <w:name w:val="footer"/>
    <w:basedOn w:val="Normal"/>
    <w:link w:val="FooterChar"/>
    <w:uiPriority w:val="99"/>
    <w:unhideWhenUsed/>
    <w:rsid w:val="004F1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1711">
      <w:bodyDiv w:val="1"/>
      <w:marLeft w:val="0"/>
      <w:marRight w:val="0"/>
      <w:marTop w:val="0"/>
      <w:marBottom w:val="0"/>
      <w:divBdr>
        <w:top w:val="none" w:sz="0" w:space="0" w:color="auto"/>
        <w:left w:val="none" w:sz="0" w:space="0" w:color="auto"/>
        <w:bottom w:val="none" w:sz="0" w:space="0" w:color="auto"/>
        <w:right w:val="none" w:sz="0" w:space="0" w:color="auto"/>
      </w:divBdr>
    </w:div>
    <w:div w:id="438450359">
      <w:bodyDiv w:val="1"/>
      <w:marLeft w:val="0"/>
      <w:marRight w:val="0"/>
      <w:marTop w:val="0"/>
      <w:marBottom w:val="0"/>
      <w:divBdr>
        <w:top w:val="none" w:sz="0" w:space="0" w:color="auto"/>
        <w:left w:val="none" w:sz="0" w:space="0" w:color="auto"/>
        <w:bottom w:val="none" w:sz="0" w:space="0" w:color="auto"/>
        <w:right w:val="none" w:sz="0" w:space="0" w:color="auto"/>
      </w:divBdr>
    </w:div>
    <w:div w:id="519465215">
      <w:bodyDiv w:val="1"/>
      <w:marLeft w:val="0"/>
      <w:marRight w:val="0"/>
      <w:marTop w:val="0"/>
      <w:marBottom w:val="0"/>
      <w:divBdr>
        <w:top w:val="none" w:sz="0" w:space="0" w:color="auto"/>
        <w:left w:val="none" w:sz="0" w:space="0" w:color="auto"/>
        <w:bottom w:val="none" w:sz="0" w:space="0" w:color="auto"/>
        <w:right w:val="none" w:sz="0" w:space="0" w:color="auto"/>
      </w:divBdr>
    </w:div>
    <w:div w:id="628173899">
      <w:bodyDiv w:val="1"/>
      <w:marLeft w:val="0"/>
      <w:marRight w:val="0"/>
      <w:marTop w:val="0"/>
      <w:marBottom w:val="0"/>
      <w:divBdr>
        <w:top w:val="none" w:sz="0" w:space="0" w:color="auto"/>
        <w:left w:val="none" w:sz="0" w:space="0" w:color="auto"/>
        <w:bottom w:val="none" w:sz="0" w:space="0" w:color="auto"/>
        <w:right w:val="none" w:sz="0" w:space="0" w:color="auto"/>
      </w:divBdr>
    </w:div>
    <w:div w:id="1034310955">
      <w:bodyDiv w:val="1"/>
      <w:marLeft w:val="0"/>
      <w:marRight w:val="0"/>
      <w:marTop w:val="0"/>
      <w:marBottom w:val="0"/>
      <w:divBdr>
        <w:top w:val="none" w:sz="0" w:space="0" w:color="auto"/>
        <w:left w:val="none" w:sz="0" w:space="0" w:color="auto"/>
        <w:bottom w:val="none" w:sz="0" w:space="0" w:color="auto"/>
        <w:right w:val="none" w:sz="0" w:space="0" w:color="auto"/>
      </w:divBdr>
    </w:div>
    <w:div w:id="13114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Dominey</dc:creator>
  <cp:keywords/>
  <dc:description/>
  <cp:lastModifiedBy>Thea Dominey</cp:lastModifiedBy>
  <cp:revision>8</cp:revision>
  <cp:lastPrinted>2019-10-15T11:08:00Z</cp:lastPrinted>
  <dcterms:created xsi:type="dcterms:W3CDTF">2019-10-17T13:43:00Z</dcterms:created>
  <dcterms:modified xsi:type="dcterms:W3CDTF">2019-10-17T13:59:00Z</dcterms:modified>
</cp:coreProperties>
</file>